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FC1" w:rsidRDefault="00FC635D" w:rsidP="007173E9">
      <w:pPr>
        <w:pStyle w:val="Ttulo"/>
      </w:pPr>
      <w:r w:rsidRPr="00954ACC">
        <w:t>TERMES DE REFERENCE</w:t>
      </w:r>
    </w:p>
    <w:p w:rsidR="00FC635D" w:rsidRDefault="003A49F7" w:rsidP="003A49F7">
      <w:pPr>
        <w:pStyle w:val="Textoindependiente"/>
        <w:rPr>
          <w:lang w:val="fr-SN"/>
        </w:rPr>
      </w:pPr>
      <w:r>
        <w:t>E</w:t>
      </w:r>
      <w:r w:rsidRPr="00C43DA0">
        <w:t>laboration</w:t>
      </w:r>
      <w:r w:rsidR="00C43DA0" w:rsidRPr="00C43DA0">
        <w:t xml:space="preserve"> article scientifique résilience des systèmes de santé au Sahel</w:t>
      </w:r>
    </w:p>
    <w:p w:rsidR="00FC635D" w:rsidRPr="00962AD1" w:rsidRDefault="00FC635D" w:rsidP="00097056">
      <w:pPr>
        <w:pStyle w:val="Ttulo1"/>
        <w:numPr>
          <w:ilvl w:val="0"/>
          <w:numId w:val="1"/>
        </w:numPr>
        <w:spacing w:before="0" w:line="240" w:lineRule="auto"/>
        <w:jc w:val="both"/>
        <w:rPr>
          <w:rFonts w:ascii="Arial" w:hAnsi="Arial" w:cs="Arial"/>
          <w:b/>
          <w:sz w:val="24"/>
          <w:szCs w:val="24"/>
          <w:lang w:val="fr-FR"/>
        </w:rPr>
      </w:pPr>
      <w:r>
        <w:rPr>
          <w:rFonts w:ascii="Arial" w:hAnsi="Arial" w:cs="Arial"/>
          <w:b/>
          <w:sz w:val="24"/>
          <w:szCs w:val="24"/>
          <w:lang w:val="fr-FR"/>
        </w:rPr>
        <w:t>Contexte et Justification</w:t>
      </w:r>
    </w:p>
    <w:p w:rsidR="00FC635D" w:rsidRDefault="00FC635D" w:rsidP="00097056">
      <w:pPr>
        <w:widowControl w:val="0"/>
        <w:tabs>
          <w:tab w:val="num" w:pos="720"/>
          <w:tab w:val="left" w:pos="2268"/>
        </w:tabs>
        <w:autoSpaceDE w:val="0"/>
        <w:autoSpaceDN w:val="0"/>
        <w:adjustRightInd w:val="0"/>
        <w:spacing w:before="240" w:after="120" w:line="360" w:lineRule="auto"/>
        <w:jc w:val="both"/>
        <w:rPr>
          <w:rFonts w:ascii="Arial" w:eastAsia="Calibri" w:hAnsi="Arial" w:cs="Arial"/>
          <w:color w:val="262626"/>
        </w:rPr>
      </w:pPr>
      <w:bookmarkStart w:id="0" w:name="_GoBack"/>
      <w:r w:rsidRPr="005C1554">
        <w:rPr>
          <w:rFonts w:ascii="Arial" w:eastAsia="Calibri" w:hAnsi="Arial" w:cs="Arial"/>
          <w:color w:val="262626"/>
        </w:rPr>
        <w:t>En 2017, Action Contre la Faim a conduit deux études sur « la résilience du système de santé » et « les mécanismes de coordination pour la prévention et la réponse aux urgences sanitaires et nutritionnelles » dans neuf pays du Sahel, avec des études de cas au Mali et au Niger. Cette étude a permis d’identifier les pathologies les plus récurrentes dans les pays de la région sahélienne, les int</w:t>
      </w:r>
      <w:r>
        <w:rPr>
          <w:rFonts w:ascii="Arial" w:eastAsia="Calibri" w:hAnsi="Arial" w:cs="Arial"/>
          <w:color w:val="262626"/>
        </w:rPr>
        <w:t>e</w:t>
      </w:r>
      <w:r w:rsidRPr="005C1554">
        <w:rPr>
          <w:rFonts w:ascii="Arial" w:eastAsia="Calibri" w:hAnsi="Arial" w:cs="Arial"/>
          <w:color w:val="262626"/>
        </w:rPr>
        <w:t xml:space="preserve">ractions entre ces pathologies et leurs effets combinés sur le système de santé, ainsi que les stratégies de réponse des systèmes de santé et de la communauté face à ces chocs. Les résultats de l’étude ont été validé au niveau pays et au niveau régional par toutes les parties prenantes. </w:t>
      </w:r>
    </w:p>
    <w:p w:rsidR="00FC635D" w:rsidRPr="00FC635D" w:rsidRDefault="00FC635D" w:rsidP="00097056">
      <w:pPr>
        <w:pStyle w:val="Prrafodelista"/>
        <w:numPr>
          <w:ilvl w:val="0"/>
          <w:numId w:val="1"/>
        </w:numPr>
        <w:jc w:val="both"/>
        <w:rPr>
          <w:rFonts w:ascii="Arial" w:eastAsiaTheme="majorEastAsia" w:hAnsi="Arial" w:cs="Arial"/>
          <w:b/>
          <w:color w:val="2F5496" w:themeColor="accent1" w:themeShade="BF"/>
          <w:sz w:val="24"/>
          <w:szCs w:val="24"/>
        </w:rPr>
      </w:pPr>
      <w:r w:rsidRPr="00FC635D">
        <w:rPr>
          <w:rFonts w:ascii="Arial" w:eastAsiaTheme="majorEastAsia" w:hAnsi="Arial" w:cs="Arial"/>
          <w:b/>
          <w:color w:val="2F5496" w:themeColor="accent1" w:themeShade="BF"/>
          <w:sz w:val="24"/>
          <w:szCs w:val="24"/>
        </w:rPr>
        <w:t>Objectif de la consultance :</w:t>
      </w:r>
    </w:p>
    <w:p w:rsidR="00954ACC" w:rsidRDefault="00FC635D" w:rsidP="00097056">
      <w:pPr>
        <w:widowControl w:val="0"/>
        <w:tabs>
          <w:tab w:val="num" w:pos="720"/>
          <w:tab w:val="left" w:pos="2268"/>
        </w:tabs>
        <w:autoSpaceDE w:val="0"/>
        <w:autoSpaceDN w:val="0"/>
        <w:adjustRightInd w:val="0"/>
        <w:spacing w:before="240" w:after="120" w:line="360" w:lineRule="auto"/>
        <w:jc w:val="both"/>
        <w:rPr>
          <w:rFonts w:ascii="Arial" w:eastAsia="Calibri" w:hAnsi="Arial" w:cs="Arial"/>
          <w:color w:val="262626"/>
        </w:rPr>
      </w:pPr>
      <w:r>
        <w:rPr>
          <w:rFonts w:ascii="Arial" w:eastAsia="Calibri" w:hAnsi="Arial" w:cs="Arial"/>
          <w:color w:val="262626"/>
        </w:rPr>
        <w:t xml:space="preserve">L’objectif </w:t>
      </w:r>
      <w:r w:rsidRPr="005C1554">
        <w:rPr>
          <w:rFonts w:ascii="Arial" w:eastAsia="Calibri" w:hAnsi="Arial" w:cs="Arial"/>
          <w:color w:val="262626"/>
        </w:rPr>
        <w:t xml:space="preserve">est de développer et de soumettre dans un journal scientifique un article qui synthétise les résultats et recommandations formulées dans les deux études conduites. </w:t>
      </w:r>
      <w:bookmarkStart w:id="1" w:name="_Toc525411729"/>
    </w:p>
    <w:bookmarkEnd w:id="0"/>
    <w:p w:rsidR="005C37ED" w:rsidRPr="00954ACC" w:rsidRDefault="005C37ED" w:rsidP="00097056">
      <w:pPr>
        <w:pStyle w:val="Prrafodelista"/>
        <w:widowControl w:val="0"/>
        <w:numPr>
          <w:ilvl w:val="0"/>
          <w:numId w:val="1"/>
        </w:numPr>
        <w:tabs>
          <w:tab w:val="num" w:pos="720"/>
          <w:tab w:val="left" w:pos="2268"/>
        </w:tabs>
        <w:autoSpaceDE w:val="0"/>
        <w:autoSpaceDN w:val="0"/>
        <w:adjustRightInd w:val="0"/>
        <w:spacing w:before="240" w:after="120" w:line="360" w:lineRule="auto"/>
        <w:jc w:val="both"/>
        <w:rPr>
          <w:rFonts w:ascii="Arial" w:eastAsiaTheme="majorEastAsia" w:hAnsi="Arial" w:cs="Arial"/>
          <w:b/>
          <w:color w:val="2F5496" w:themeColor="accent1" w:themeShade="BF"/>
          <w:sz w:val="24"/>
          <w:szCs w:val="24"/>
        </w:rPr>
      </w:pPr>
      <w:r w:rsidRPr="00954ACC">
        <w:rPr>
          <w:rFonts w:ascii="Arial" w:eastAsiaTheme="majorEastAsia" w:hAnsi="Arial" w:cs="Arial"/>
          <w:b/>
          <w:color w:val="2F5496" w:themeColor="accent1" w:themeShade="BF"/>
          <w:sz w:val="24"/>
          <w:szCs w:val="24"/>
        </w:rPr>
        <w:t>Calendrier du projet</w:t>
      </w:r>
      <w:bookmarkEnd w:id="1"/>
    </w:p>
    <w:p w:rsidR="00FC635D" w:rsidRPr="005C1554" w:rsidRDefault="005C37ED" w:rsidP="00097056">
      <w:pPr>
        <w:widowControl w:val="0"/>
        <w:tabs>
          <w:tab w:val="num" w:pos="720"/>
          <w:tab w:val="left" w:pos="2268"/>
        </w:tabs>
        <w:autoSpaceDE w:val="0"/>
        <w:autoSpaceDN w:val="0"/>
        <w:adjustRightInd w:val="0"/>
        <w:spacing w:before="240" w:after="120" w:line="360" w:lineRule="auto"/>
        <w:jc w:val="both"/>
        <w:rPr>
          <w:rFonts w:ascii="Arial" w:eastAsia="Calibri" w:hAnsi="Arial" w:cs="Arial"/>
          <w:color w:val="262626"/>
        </w:rPr>
      </w:pPr>
      <w:r w:rsidRPr="005C1554">
        <w:rPr>
          <w:rFonts w:ascii="Arial" w:eastAsia="Calibri" w:hAnsi="Arial" w:cs="Arial"/>
          <w:color w:val="262626"/>
        </w:rPr>
        <w:t>L</w:t>
      </w:r>
      <w:r w:rsidR="00954ACC">
        <w:rPr>
          <w:rFonts w:ascii="Arial" w:eastAsia="Calibri" w:hAnsi="Arial" w:cs="Arial"/>
          <w:color w:val="262626"/>
        </w:rPr>
        <w:t xml:space="preserve">a </w:t>
      </w:r>
      <w:r w:rsidRPr="005C1554">
        <w:rPr>
          <w:rFonts w:ascii="Arial" w:eastAsia="Calibri" w:hAnsi="Arial" w:cs="Arial"/>
          <w:color w:val="262626"/>
        </w:rPr>
        <w:t xml:space="preserve">durée totale du projet </w:t>
      </w:r>
      <w:r w:rsidR="00954ACC">
        <w:rPr>
          <w:rFonts w:ascii="Arial" w:eastAsia="Calibri" w:hAnsi="Arial" w:cs="Arial"/>
          <w:color w:val="262626"/>
        </w:rPr>
        <w:t>doit s’étaler</w:t>
      </w:r>
      <w:r w:rsidRPr="005C1554">
        <w:rPr>
          <w:rFonts w:ascii="Arial" w:eastAsia="Calibri" w:hAnsi="Arial" w:cs="Arial"/>
          <w:color w:val="262626"/>
        </w:rPr>
        <w:t xml:space="preserve"> sur une période estimée de </w:t>
      </w:r>
      <w:r>
        <w:rPr>
          <w:rFonts w:ascii="Arial" w:eastAsia="Calibri" w:hAnsi="Arial" w:cs="Arial"/>
          <w:color w:val="262626"/>
        </w:rPr>
        <w:t>trois</w:t>
      </w:r>
      <w:r w:rsidRPr="005C1554">
        <w:rPr>
          <w:rFonts w:ascii="Arial" w:eastAsia="Calibri" w:hAnsi="Arial" w:cs="Arial"/>
          <w:color w:val="262626"/>
        </w:rPr>
        <w:t xml:space="preserve"> (</w:t>
      </w:r>
      <w:r>
        <w:rPr>
          <w:rFonts w:ascii="Arial" w:eastAsia="Calibri" w:hAnsi="Arial" w:cs="Arial"/>
          <w:color w:val="262626"/>
        </w:rPr>
        <w:t>3</w:t>
      </w:r>
      <w:r w:rsidRPr="005C1554">
        <w:rPr>
          <w:rFonts w:ascii="Arial" w:eastAsia="Calibri" w:hAnsi="Arial" w:cs="Arial"/>
          <w:color w:val="262626"/>
        </w:rPr>
        <w:t>) mois (</w:t>
      </w:r>
      <w:r>
        <w:rPr>
          <w:rFonts w:ascii="Arial" w:eastAsia="Calibri" w:hAnsi="Arial" w:cs="Arial"/>
          <w:color w:val="262626"/>
        </w:rPr>
        <w:t>Janvier</w:t>
      </w:r>
      <w:r w:rsidRPr="005C1554">
        <w:rPr>
          <w:rFonts w:ascii="Arial" w:eastAsia="Calibri" w:hAnsi="Arial" w:cs="Arial"/>
          <w:color w:val="262626"/>
        </w:rPr>
        <w:t xml:space="preserve"> 201</w:t>
      </w:r>
      <w:r>
        <w:rPr>
          <w:rFonts w:ascii="Arial" w:eastAsia="Calibri" w:hAnsi="Arial" w:cs="Arial"/>
          <w:color w:val="262626"/>
        </w:rPr>
        <w:t>9</w:t>
      </w:r>
      <w:r w:rsidRPr="005C1554">
        <w:rPr>
          <w:rFonts w:ascii="Arial" w:eastAsia="Calibri" w:hAnsi="Arial" w:cs="Arial"/>
          <w:color w:val="262626"/>
        </w:rPr>
        <w:t xml:space="preserve"> à </w:t>
      </w:r>
      <w:r>
        <w:rPr>
          <w:rFonts w:ascii="Arial" w:eastAsia="Calibri" w:hAnsi="Arial" w:cs="Arial"/>
          <w:color w:val="262626"/>
        </w:rPr>
        <w:t>Mars</w:t>
      </w:r>
      <w:r w:rsidRPr="005C1554">
        <w:rPr>
          <w:rFonts w:ascii="Arial" w:eastAsia="Calibri" w:hAnsi="Arial" w:cs="Arial"/>
          <w:color w:val="262626"/>
        </w:rPr>
        <w:t xml:space="preserve"> 2019). </w:t>
      </w:r>
      <w:r>
        <w:rPr>
          <w:rFonts w:ascii="Arial" w:eastAsia="Calibri" w:hAnsi="Arial" w:cs="Arial"/>
          <w:color w:val="262626"/>
        </w:rPr>
        <w:t>Cette période inclue l</w:t>
      </w:r>
      <w:r w:rsidRPr="005C1554">
        <w:rPr>
          <w:rFonts w:ascii="Arial" w:eastAsia="Calibri" w:hAnsi="Arial" w:cs="Arial"/>
          <w:color w:val="262626"/>
        </w:rPr>
        <w:t>e développement et la soumission de l’article</w:t>
      </w:r>
      <w:r>
        <w:rPr>
          <w:rFonts w:ascii="Arial" w:eastAsia="Calibri" w:hAnsi="Arial" w:cs="Arial"/>
          <w:color w:val="262626"/>
        </w:rPr>
        <w:t>, l</w:t>
      </w:r>
      <w:r w:rsidRPr="005C1554">
        <w:rPr>
          <w:rFonts w:ascii="Arial" w:eastAsia="Calibri" w:hAnsi="Arial" w:cs="Arial"/>
          <w:color w:val="262626"/>
        </w:rPr>
        <w:t xml:space="preserve">a période englobant les commentaires des réviseurs du journal et la publication finale de l’article dépendra de leur promptitude à réagir après soumission de l’article. </w:t>
      </w:r>
    </w:p>
    <w:p w:rsidR="00FC635D" w:rsidRDefault="00954ACC" w:rsidP="00097056">
      <w:pPr>
        <w:pStyle w:val="Prrafodelista"/>
        <w:widowControl w:val="0"/>
        <w:numPr>
          <w:ilvl w:val="0"/>
          <w:numId w:val="1"/>
        </w:numPr>
        <w:tabs>
          <w:tab w:val="num" w:pos="720"/>
          <w:tab w:val="left" w:pos="2268"/>
        </w:tabs>
        <w:autoSpaceDE w:val="0"/>
        <w:autoSpaceDN w:val="0"/>
        <w:adjustRightInd w:val="0"/>
        <w:spacing w:before="240" w:after="120" w:line="360" w:lineRule="auto"/>
        <w:jc w:val="both"/>
        <w:rPr>
          <w:rFonts w:ascii="Arial" w:eastAsiaTheme="majorEastAsia" w:hAnsi="Arial" w:cs="Arial"/>
          <w:b/>
          <w:color w:val="2F5496" w:themeColor="accent1" w:themeShade="BF"/>
          <w:sz w:val="24"/>
          <w:szCs w:val="24"/>
        </w:rPr>
      </w:pPr>
      <w:r w:rsidRPr="00954ACC">
        <w:rPr>
          <w:rFonts w:ascii="Arial" w:eastAsiaTheme="majorEastAsia" w:hAnsi="Arial" w:cs="Arial"/>
          <w:b/>
          <w:color w:val="2F5496" w:themeColor="accent1" w:themeShade="BF"/>
          <w:sz w:val="24"/>
          <w:szCs w:val="24"/>
        </w:rPr>
        <w:t>Profil recherché</w:t>
      </w:r>
    </w:p>
    <w:p w:rsidR="00954ACC" w:rsidRPr="00954ACC" w:rsidRDefault="00954ACC" w:rsidP="00097056">
      <w:pPr>
        <w:pStyle w:val="Prrafodelista"/>
        <w:numPr>
          <w:ilvl w:val="0"/>
          <w:numId w:val="2"/>
        </w:numPr>
        <w:autoSpaceDE w:val="0"/>
        <w:autoSpaceDN w:val="0"/>
        <w:adjustRightInd w:val="0"/>
        <w:spacing w:after="0" w:line="360" w:lineRule="auto"/>
        <w:ind w:left="754" w:hanging="357"/>
        <w:jc w:val="both"/>
        <w:rPr>
          <w:rFonts w:ascii="Arial" w:eastAsia="Calibri" w:hAnsi="Arial" w:cs="Arial"/>
          <w:color w:val="262626"/>
        </w:rPr>
      </w:pPr>
      <w:r w:rsidRPr="00954ACC">
        <w:rPr>
          <w:rFonts w:ascii="Arial" w:eastAsia="Calibri" w:hAnsi="Arial" w:cs="Arial"/>
          <w:color w:val="262626"/>
        </w:rPr>
        <w:t>Diplôme supérieur (minimum MASTER 2) en Santé Publique, médecin spécialiste en santé publique / activités liées au renforcement des systèmes de santé</w:t>
      </w:r>
    </w:p>
    <w:p w:rsidR="00954ACC" w:rsidRPr="00954ACC" w:rsidRDefault="00954ACC" w:rsidP="00097056">
      <w:pPr>
        <w:pStyle w:val="Prrafodelista"/>
        <w:numPr>
          <w:ilvl w:val="0"/>
          <w:numId w:val="2"/>
        </w:numPr>
        <w:autoSpaceDE w:val="0"/>
        <w:autoSpaceDN w:val="0"/>
        <w:adjustRightInd w:val="0"/>
        <w:spacing w:after="0" w:line="360" w:lineRule="auto"/>
        <w:ind w:left="754" w:hanging="357"/>
        <w:jc w:val="both"/>
        <w:rPr>
          <w:rFonts w:ascii="Arial" w:eastAsia="Calibri" w:hAnsi="Arial" w:cs="Arial"/>
          <w:color w:val="262626"/>
        </w:rPr>
      </w:pPr>
      <w:r w:rsidRPr="00954ACC">
        <w:rPr>
          <w:rFonts w:ascii="Arial" w:eastAsia="Calibri" w:hAnsi="Arial" w:cs="Arial"/>
          <w:color w:val="262626"/>
        </w:rPr>
        <w:t xml:space="preserve">Expérience préalable (minimum </w:t>
      </w:r>
      <w:r>
        <w:rPr>
          <w:rFonts w:ascii="Arial" w:eastAsia="Calibri" w:hAnsi="Arial" w:cs="Arial"/>
          <w:color w:val="262626"/>
        </w:rPr>
        <w:t>5</w:t>
      </w:r>
      <w:r w:rsidRPr="00954ACC">
        <w:rPr>
          <w:rFonts w:ascii="Arial" w:eastAsia="Calibri" w:hAnsi="Arial" w:cs="Arial"/>
          <w:color w:val="262626"/>
        </w:rPr>
        <w:t xml:space="preserve"> ans) en évaluation des systèmes de santé</w:t>
      </w:r>
    </w:p>
    <w:p w:rsidR="00954ACC" w:rsidRPr="00954ACC" w:rsidRDefault="00954ACC" w:rsidP="00097056">
      <w:pPr>
        <w:pStyle w:val="Prrafodelista"/>
        <w:numPr>
          <w:ilvl w:val="0"/>
          <w:numId w:val="2"/>
        </w:numPr>
        <w:autoSpaceDE w:val="0"/>
        <w:autoSpaceDN w:val="0"/>
        <w:adjustRightInd w:val="0"/>
        <w:spacing w:after="0" w:line="360" w:lineRule="auto"/>
        <w:ind w:left="754" w:hanging="357"/>
        <w:jc w:val="both"/>
        <w:rPr>
          <w:rFonts w:ascii="Arial" w:eastAsia="Calibri" w:hAnsi="Arial" w:cs="Arial"/>
          <w:color w:val="262626"/>
        </w:rPr>
      </w:pPr>
      <w:r w:rsidRPr="00954ACC">
        <w:rPr>
          <w:rFonts w:ascii="Arial" w:eastAsia="Calibri" w:hAnsi="Arial" w:cs="Arial"/>
          <w:color w:val="262626"/>
        </w:rPr>
        <w:t xml:space="preserve">Expérience (minimum </w:t>
      </w:r>
      <w:r>
        <w:rPr>
          <w:rFonts w:ascii="Arial" w:eastAsia="Calibri" w:hAnsi="Arial" w:cs="Arial"/>
          <w:color w:val="262626"/>
        </w:rPr>
        <w:t>5</w:t>
      </w:r>
      <w:r w:rsidRPr="00954ACC">
        <w:rPr>
          <w:rFonts w:ascii="Arial" w:eastAsia="Calibri" w:hAnsi="Arial" w:cs="Arial"/>
          <w:color w:val="262626"/>
        </w:rPr>
        <w:t xml:space="preserve"> an</w:t>
      </w:r>
      <w:r>
        <w:rPr>
          <w:rFonts w:ascii="Arial" w:eastAsia="Calibri" w:hAnsi="Arial" w:cs="Arial"/>
          <w:color w:val="262626"/>
        </w:rPr>
        <w:t>s</w:t>
      </w:r>
      <w:r w:rsidRPr="00954ACC">
        <w:rPr>
          <w:rFonts w:ascii="Arial" w:eastAsia="Calibri" w:hAnsi="Arial" w:cs="Arial"/>
          <w:color w:val="262626"/>
        </w:rPr>
        <w:t>) en planification et renforcement des systèmes de santé</w:t>
      </w:r>
    </w:p>
    <w:p w:rsidR="00954ACC" w:rsidRPr="00954ACC" w:rsidRDefault="00954ACC" w:rsidP="00097056">
      <w:pPr>
        <w:pStyle w:val="Prrafodelista"/>
        <w:numPr>
          <w:ilvl w:val="0"/>
          <w:numId w:val="2"/>
        </w:numPr>
        <w:autoSpaceDE w:val="0"/>
        <w:autoSpaceDN w:val="0"/>
        <w:adjustRightInd w:val="0"/>
        <w:spacing w:after="0" w:line="360" w:lineRule="auto"/>
        <w:ind w:left="754" w:hanging="357"/>
        <w:jc w:val="both"/>
        <w:rPr>
          <w:rFonts w:ascii="Arial" w:eastAsia="Calibri" w:hAnsi="Arial" w:cs="Arial"/>
          <w:color w:val="262626"/>
        </w:rPr>
      </w:pPr>
      <w:r w:rsidRPr="00954ACC">
        <w:rPr>
          <w:rFonts w:ascii="Arial" w:eastAsia="Calibri" w:hAnsi="Arial" w:cs="Arial"/>
          <w:color w:val="262626"/>
        </w:rPr>
        <w:t xml:space="preserve">Expérience préalable en ONG internationale préférable, avec expérience du travail en partenariat/consortium avec OSC Nationale nécessaire. Minimum </w:t>
      </w:r>
      <w:r w:rsidR="00097056">
        <w:rPr>
          <w:rFonts w:ascii="Arial" w:eastAsia="Calibri" w:hAnsi="Arial" w:cs="Arial"/>
          <w:color w:val="262626"/>
        </w:rPr>
        <w:t>5</w:t>
      </w:r>
      <w:r w:rsidRPr="00954ACC">
        <w:rPr>
          <w:rFonts w:ascii="Arial" w:eastAsia="Calibri" w:hAnsi="Arial" w:cs="Arial"/>
          <w:color w:val="262626"/>
        </w:rPr>
        <w:t xml:space="preserve"> ans d’expérience.</w:t>
      </w:r>
    </w:p>
    <w:p w:rsidR="00954ACC" w:rsidRPr="00954ACC" w:rsidRDefault="00954ACC" w:rsidP="00097056">
      <w:pPr>
        <w:pStyle w:val="Prrafodelista"/>
        <w:numPr>
          <w:ilvl w:val="0"/>
          <w:numId w:val="2"/>
        </w:numPr>
        <w:autoSpaceDE w:val="0"/>
        <w:autoSpaceDN w:val="0"/>
        <w:adjustRightInd w:val="0"/>
        <w:spacing w:after="0" w:line="360" w:lineRule="auto"/>
        <w:ind w:left="754" w:hanging="357"/>
        <w:jc w:val="both"/>
        <w:rPr>
          <w:rFonts w:ascii="Arial" w:eastAsia="Calibri" w:hAnsi="Arial" w:cs="Arial"/>
          <w:color w:val="262626"/>
        </w:rPr>
      </w:pPr>
      <w:r w:rsidRPr="00954ACC">
        <w:rPr>
          <w:rFonts w:ascii="Arial" w:eastAsia="Calibri" w:hAnsi="Arial" w:cs="Arial"/>
          <w:color w:val="262626"/>
        </w:rPr>
        <w:t>Expérience professionnelle sur des approches à la fois urbaines, péri-urbaines et rurales.</w:t>
      </w:r>
    </w:p>
    <w:p w:rsidR="00954ACC" w:rsidRPr="00954ACC" w:rsidRDefault="00954ACC" w:rsidP="00097056">
      <w:pPr>
        <w:pStyle w:val="Prrafodelista"/>
        <w:numPr>
          <w:ilvl w:val="0"/>
          <w:numId w:val="2"/>
        </w:numPr>
        <w:autoSpaceDE w:val="0"/>
        <w:autoSpaceDN w:val="0"/>
        <w:adjustRightInd w:val="0"/>
        <w:spacing w:after="0" w:line="360" w:lineRule="auto"/>
        <w:ind w:left="754" w:hanging="357"/>
        <w:jc w:val="both"/>
        <w:rPr>
          <w:rFonts w:ascii="Arial" w:eastAsia="Calibri" w:hAnsi="Arial" w:cs="Arial"/>
          <w:color w:val="262626"/>
        </w:rPr>
      </w:pPr>
      <w:r w:rsidRPr="00954ACC">
        <w:rPr>
          <w:rFonts w:ascii="Arial" w:eastAsia="Calibri" w:hAnsi="Arial" w:cs="Arial"/>
          <w:color w:val="262626"/>
        </w:rPr>
        <w:t>Partenariat avec ONG locale, développement de la société civile.</w:t>
      </w:r>
    </w:p>
    <w:p w:rsidR="00954ACC" w:rsidRPr="00954ACC" w:rsidRDefault="00954ACC" w:rsidP="00097056">
      <w:pPr>
        <w:pStyle w:val="Prrafodelista"/>
        <w:numPr>
          <w:ilvl w:val="0"/>
          <w:numId w:val="2"/>
        </w:numPr>
        <w:autoSpaceDE w:val="0"/>
        <w:autoSpaceDN w:val="0"/>
        <w:adjustRightInd w:val="0"/>
        <w:spacing w:after="0" w:line="360" w:lineRule="auto"/>
        <w:ind w:left="754" w:hanging="357"/>
        <w:jc w:val="both"/>
        <w:rPr>
          <w:rFonts w:ascii="Arial" w:eastAsia="Calibri" w:hAnsi="Arial" w:cs="Arial"/>
          <w:color w:val="262626"/>
        </w:rPr>
      </w:pPr>
      <w:r w:rsidRPr="00954ACC">
        <w:rPr>
          <w:rFonts w:ascii="Arial" w:eastAsia="Calibri" w:hAnsi="Arial" w:cs="Arial"/>
          <w:color w:val="262626"/>
        </w:rPr>
        <w:t>Coordination/implication des acteurs santé locaux et régionaux.</w:t>
      </w:r>
    </w:p>
    <w:p w:rsidR="00954ACC" w:rsidRPr="00954ACC" w:rsidRDefault="00954ACC" w:rsidP="00097056">
      <w:pPr>
        <w:pStyle w:val="Prrafodelista"/>
        <w:numPr>
          <w:ilvl w:val="0"/>
          <w:numId w:val="2"/>
        </w:numPr>
        <w:autoSpaceDE w:val="0"/>
        <w:autoSpaceDN w:val="0"/>
        <w:adjustRightInd w:val="0"/>
        <w:spacing w:after="0" w:line="360" w:lineRule="auto"/>
        <w:ind w:left="754" w:hanging="357"/>
        <w:jc w:val="both"/>
        <w:rPr>
          <w:rFonts w:ascii="Arial" w:eastAsia="Calibri" w:hAnsi="Arial" w:cs="Arial"/>
          <w:color w:val="262626"/>
        </w:rPr>
      </w:pPr>
      <w:r w:rsidRPr="00954ACC">
        <w:rPr>
          <w:rFonts w:ascii="Arial" w:eastAsia="Calibri" w:hAnsi="Arial" w:cs="Arial"/>
          <w:color w:val="262626"/>
        </w:rPr>
        <w:lastRenderedPageBreak/>
        <w:t>Capitalisation d’expérience, dissémination et plaidoyer.</w:t>
      </w:r>
    </w:p>
    <w:p w:rsidR="00BE08C8" w:rsidRDefault="00954ACC" w:rsidP="00097056">
      <w:pPr>
        <w:pStyle w:val="Prrafodelista"/>
        <w:numPr>
          <w:ilvl w:val="0"/>
          <w:numId w:val="2"/>
        </w:numPr>
        <w:autoSpaceDE w:val="0"/>
        <w:autoSpaceDN w:val="0"/>
        <w:adjustRightInd w:val="0"/>
        <w:spacing w:after="0" w:line="360" w:lineRule="auto"/>
        <w:ind w:left="754" w:hanging="357"/>
        <w:jc w:val="both"/>
        <w:rPr>
          <w:rFonts w:ascii="Arial" w:eastAsia="Calibri" w:hAnsi="Arial" w:cs="Arial"/>
          <w:color w:val="262626"/>
        </w:rPr>
      </w:pPr>
      <w:r w:rsidRPr="00097056">
        <w:rPr>
          <w:rFonts w:ascii="Arial" w:eastAsia="Calibri" w:hAnsi="Arial" w:cs="Arial"/>
          <w:color w:val="262626"/>
        </w:rPr>
        <w:t xml:space="preserve">Langues exigées et niveau : français </w:t>
      </w:r>
      <w:r w:rsidR="00097056" w:rsidRPr="00097056">
        <w:rPr>
          <w:rFonts w:ascii="Arial" w:eastAsia="Calibri" w:hAnsi="Arial" w:cs="Arial"/>
          <w:color w:val="262626"/>
        </w:rPr>
        <w:t xml:space="preserve">et Anglais </w:t>
      </w:r>
      <w:r w:rsidRPr="00097056">
        <w:rPr>
          <w:rFonts w:ascii="Arial" w:eastAsia="Calibri" w:hAnsi="Arial" w:cs="Arial"/>
          <w:color w:val="262626"/>
        </w:rPr>
        <w:t>courant (et maitrise du langage technique du secteur santé/nutrition) écrit et parlé</w:t>
      </w:r>
      <w:r w:rsidR="00097056">
        <w:rPr>
          <w:rFonts w:ascii="Arial" w:eastAsia="Calibri" w:hAnsi="Arial" w:cs="Arial"/>
          <w:color w:val="262626"/>
        </w:rPr>
        <w:t>.</w:t>
      </w:r>
    </w:p>
    <w:p w:rsidR="00A06631" w:rsidRPr="00097056" w:rsidRDefault="00A06631" w:rsidP="00A06631">
      <w:pPr>
        <w:pStyle w:val="Prrafodelista"/>
        <w:autoSpaceDE w:val="0"/>
        <w:autoSpaceDN w:val="0"/>
        <w:adjustRightInd w:val="0"/>
        <w:spacing w:after="0" w:line="360" w:lineRule="auto"/>
        <w:ind w:left="754"/>
        <w:jc w:val="both"/>
        <w:rPr>
          <w:rFonts w:ascii="Arial" w:eastAsia="Calibri" w:hAnsi="Arial" w:cs="Arial"/>
          <w:color w:val="262626"/>
        </w:rPr>
      </w:pPr>
    </w:p>
    <w:p w:rsidR="00954ACC" w:rsidRPr="00954ACC" w:rsidRDefault="00954ACC" w:rsidP="00097056">
      <w:pPr>
        <w:numPr>
          <w:ilvl w:val="0"/>
          <w:numId w:val="1"/>
        </w:numPr>
        <w:suppressAutoHyphens/>
        <w:autoSpaceDE w:val="0"/>
        <w:autoSpaceDN w:val="0"/>
        <w:adjustRightInd w:val="0"/>
        <w:spacing w:after="0" w:line="240" w:lineRule="auto"/>
        <w:contextualSpacing/>
        <w:jc w:val="both"/>
        <w:rPr>
          <w:rFonts w:ascii="Arial" w:eastAsiaTheme="majorEastAsia" w:hAnsi="Arial" w:cs="Arial"/>
          <w:b/>
          <w:color w:val="2F5496" w:themeColor="accent1" w:themeShade="BF"/>
          <w:sz w:val="24"/>
          <w:szCs w:val="24"/>
        </w:rPr>
      </w:pPr>
      <w:r w:rsidRPr="00954ACC">
        <w:rPr>
          <w:rFonts w:ascii="Arial" w:eastAsiaTheme="majorEastAsia" w:hAnsi="Arial" w:cs="Arial"/>
          <w:b/>
          <w:color w:val="2F5496" w:themeColor="accent1" w:themeShade="BF"/>
          <w:sz w:val="24"/>
          <w:szCs w:val="24"/>
        </w:rPr>
        <w:t>PAIEMENT</w:t>
      </w:r>
    </w:p>
    <w:p w:rsidR="00954ACC" w:rsidRPr="00954ACC" w:rsidRDefault="00954ACC" w:rsidP="00097056">
      <w:pPr>
        <w:suppressAutoHyphens/>
        <w:spacing w:after="0" w:line="240" w:lineRule="auto"/>
        <w:jc w:val="both"/>
        <w:rPr>
          <w:rFonts w:ascii="Lato" w:eastAsia="Times New Roman" w:hAnsi="Lato" w:cs="Times New Roman"/>
          <w:b/>
          <w:sz w:val="24"/>
          <w:szCs w:val="24"/>
          <w:lang w:val="en-GB" w:eastAsia="ar-SA"/>
        </w:rPr>
      </w:pPr>
    </w:p>
    <w:p w:rsidR="00BE08C8" w:rsidRDefault="00954ACC" w:rsidP="00097056">
      <w:pPr>
        <w:suppressAutoHyphens/>
        <w:spacing w:after="60" w:line="240" w:lineRule="auto"/>
        <w:jc w:val="both"/>
        <w:rPr>
          <w:rFonts w:ascii="Lato" w:eastAsia="Times New Roman" w:hAnsi="Lato" w:cs="Times New Roman"/>
          <w:lang w:eastAsia="ar-SA"/>
        </w:rPr>
      </w:pPr>
      <w:r w:rsidRPr="00954ACC">
        <w:rPr>
          <w:rFonts w:ascii="Lato" w:eastAsia="Times New Roman" w:hAnsi="Lato" w:cs="Times New Roman"/>
          <w:szCs w:val="24"/>
          <w:lang w:eastAsia="ar-SA"/>
        </w:rPr>
        <w:t xml:space="preserve">Le consultant sera payé uniquement sur la base du montant défini et accordé dans son contrat avec Action Contre La Faim. Aucun autre frais ne sera payé au consultant outre ceux consentis sur la base de son offre. Le paiement de sa prestation sera réalisé en deux </w:t>
      </w:r>
      <w:r w:rsidRPr="00954ACC">
        <w:rPr>
          <w:rFonts w:ascii="Lato" w:eastAsia="Times New Roman" w:hAnsi="Lato" w:cs="Times New Roman"/>
          <w:lang w:eastAsia="ar-SA"/>
        </w:rPr>
        <w:t>tranches : 50% à la signature du contrat / 50% après la validation d</w:t>
      </w:r>
      <w:r w:rsidR="00BE08C8">
        <w:rPr>
          <w:rFonts w:ascii="Lato" w:eastAsia="Times New Roman" w:hAnsi="Lato" w:cs="Times New Roman"/>
          <w:lang w:eastAsia="ar-SA"/>
        </w:rPr>
        <w:t xml:space="preserve">e l’article scientifique, son acceptation et sa publication. </w:t>
      </w:r>
      <w:r w:rsidRPr="00954ACC">
        <w:rPr>
          <w:rFonts w:ascii="Lato" w:eastAsia="Times New Roman" w:hAnsi="Lato" w:cs="Times New Roman"/>
          <w:lang w:eastAsia="ar-SA"/>
        </w:rPr>
        <w:t xml:space="preserve">Le consultant peut décider qu’on lui paye les 100% après </w:t>
      </w:r>
      <w:r w:rsidR="00A06631">
        <w:rPr>
          <w:rFonts w:ascii="Lato" w:eastAsia="Times New Roman" w:hAnsi="Lato" w:cs="Times New Roman"/>
          <w:lang w:eastAsia="ar-SA"/>
        </w:rPr>
        <w:t>acceptation et publication de l’article scientifique.</w:t>
      </w:r>
    </w:p>
    <w:p w:rsidR="00A06631" w:rsidRDefault="00A06631" w:rsidP="00097056">
      <w:pPr>
        <w:suppressAutoHyphens/>
        <w:spacing w:after="60" w:line="240" w:lineRule="auto"/>
        <w:jc w:val="both"/>
        <w:rPr>
          <w:rFonts w:ascii="Lato" w:eastAsia="Times New Roman" w:hAnsi="Lato" w:cs="Times New Roman"/>
          <w:lang w:eastAsia="ar-SA"/>
        </w:rPr>
      </w:pPr>
    </w:p>
    <w:p w:rsidR="00A06631" w:rsidRPr="00954ACC" w:rsidRDefault="00A06631" w:rsidP="00097056">
      <w:pPr>
        <w:suppressAutoHyphens/>
        <w:spacing w:after="60" w:line="240" w:lineRule="auto"/>
        <w:jc w:val="both"/>
        <w:rPr>
          <w:rFonts w:ascii="Lato" w:eastAsia="Times New Roman" w:hAnsi="Lato" w:cs="Times New Roman"/>
          <w:lang w:eastAsia="ar-SA"/>
        </w:rPr>
      </w:pPr>
    </w:p>
    <w:p w:rsidR="00954ACC" w:rsidRPr="00954ACC" w:rsidRDefault="00954ACC" w:rsidP="00097056">
      <w:pPr>
        <w:numPr>
          <w:ilvl w:val="0"/>
          <w:numId w:val="1"/>
        </w:numPr>
        <w:suppressAutoHyphens/>
        <w:autoSpaceDE w:val="0"/>
        <w:autoSpaceDN w:val="0"/>
        <w:adjustRightInd w:val="0"/>
        <w:spacing w:after="0" w:line="240" w:lineRule="auto"/>
        <w:contextualSpacing/>
        <w:jc w:val="both"/>
        <w:rPr>
          <w:rFonts w:ascii="Arial" w:eastAsiaTheme="majorEastAsia" w:hAnsi="Arial" w:cs="Arial"/>
          <w:b/>
          <w:color w:val="2F5496" w:themeColor="accent1" w:themeShade="BF"/>
          <w:sz w:val="24"/>
          <w:szCs w:val="24"/>
        </w:rPr>
      </w:pPr>
      <w:r w:rsidRPr="00954ACC">
        <w:rPr>
          <w:rFonts w:ascii="Arial" w:eastAsiaTheme="majorEastAsia" w:hAnsi="Arial" w:cs="Arial"/>
          <w:b/>
          <w:color w:val="2F5496" w:themeColor="accent1" w:themeShade="BF"/>
          <w:sz w:val="24"/>
          <w:szCs w:val="24"/>
        </w:rPr>
        <w:t>PROPRIETE INTELLECTUELLE</w:t>
      </w:r>
    </w:p>
    <w:p w:rsidR="00954ACC" w:rsidRPr="00954ACC" w:rsidRDefault="00954ACC" w:rsidP="00097056">
      <w:pPr>
        <w:suppressAutoHyphens/>
        <w:spacing w:after="0" w:line="240" w:lineRule="auto"/>
        <w:jc w:val="both"/>
        <w:rPr>
          <w:rFonts w:ascii="Lato" w:eastAsia="Times New Roman" w:hAnsi="Lato" w:cs="Times New Roman"/>
          <w:sz w:val="24"/>
          <w:szCs w:val="24"/>
          <w:lang w:val="en-GB" w:eastAsia="ar-SA"/>
        </w:rPr>
      </w:pPr>
    </w:p>
    <w:p w:rsidR="00954ACC" w:rsidRPr="00954ACC" w:rsidRDefault="00954ACC" w:rsidP="00097056">
      <w:pPr>
        <w:suppressAutoHyphens/>
        <w:spacing w:after="0" w:line="240" w:lineRule="auto"/>
        <w:ind w:left="1080"/>
        <w:jc w:val="both"/>
        <w:rPr>
          <w:rFonts w:ascii="Lato" w:eastAsia="Times New Roman" w:hAnsi="Lato" w:cs="Times New Roman"/>
          <w:lang w:eastAsia="ar-SA"/>
        </w:rPr>
      </w:pPr>
      <w:r w:rsidRPr="00954ACC">
        <w:rPr>
          <w:rFonts w:ascii="Lato" w:eastAsia="Times New Roman" w:hAnsi="Lato" w:cs="Times New Roman"/>
          <w:lang w:eastAsia="ar-SA"/>
        </w:rPr>
        <w:t>La propriété de l’ensemble des documents liés à la consultation appartient exclusivement à Action Contre la Faim.</w:t>
      </w:r>
    </w:p>
    <w:p w:rsidR="00954ACC" w:rsidRPr="00954ACC" w:rsidRDefault="00954ACC" w:rsidP="00097056">
      <w:pPr>
        <w:suppressAutoHyphens/>
        <w:spacing w:after="0" w:line="240" w:lineRule="auto"/>
        <w:jc w:val="both"/>
        <w:rPr>
          <w:rFonts w:ascii="Lato" w:eastAsia="Times New Roman" w:hAnsi="Lato" w:cs="Times New Roman"/>
          <w:sz w:val="24"/>
          <w:szCs w:val="24"/>
          <w:lang w:eastAsia="ar-SA"/>
        </w:rPr>
      </w:pPr>
    </w:p>
    <w:p w:rsidR="00954ACC" w:rsidRPr="00BE08C8" w:rsidRDefault="00954ACC" w:rsidP="00097056">
      <w:pPr>
        <w:pStyle w:val="Prrafodelista"/>
        <w:numPr>
          <w:ilvl w:val="0"/>
          <w:numId w:val="1"/>
        </w:numPr>
        <w:suppressAutoHyphens/>
        <w:spacing w:after="60" w:line="240" w:lineRule="auto"/>
        <w:jc w:val="both"/>
        <w:rPr>
          <w:rFonts w:ascii="Arial" w:eastAsiaTheme="majorEastAsia" w:hAnsi="Arial" w:cs="Arial"/>
          <w:b/>
          <w:color w:val="2F5496" w:themeColor="accent1" w:themeShade="BF"/>
          <w:sz w:val="24"/>
          <w:szCs w:val="24"/>
        </w:rPr>
      </w:pPr>
      <w:r w:rsidRPr="00BE08C8">
        <w:rPr>
          <w:rFonts w:ascii="Arial" w:eastAsiaTheme="majorEastAsia" w:hAnsi="Arial" w:cs="Arial"/>
          <w:b/>
          <w:color w:val="2F5496" w:themeColor="accent1" w:themeShade="BF"/>
          <w:sz w:val="24"/>
          <w:szCs w:val="24"/>
        </w:rPr>
        <w:t>SOUMISSION DE CANDIDATURE</w:t>
      </w:r>
    </w:p>
    <w:p w:rsidR="00954ACC" w:rsidRPr="00954ACC" w:rsidRDefault="00954ACC" w:rsidP="00097056">
      <w:pPr>
        <w:suppressAutoHyphens/>
        <w:spacing w:after="0" w:line="240" w:lineRule="auto"/>
        <w:jc w:val="both"/>
        <w:rPr>
          <w:rFonts w:ascii="Lato" w:eastAsia="Times New Roman" w:hAnsi="Lato" w:cs="Times New Roman"/>
          <w:b/>
          <w:sz w:val="24"/>
          <w:szCs w:val="24"/>
          <w:lang w:val="en-GB" w:eastAsia="ar-SA"/>
        </w:rPr>
      </w:pPr>
    </w:p>
    <w:p w:rsidR="00954ACC" w:rsidRPr="00954ACC" w:rsidRDefault="00954ACC" w:rsidP="00097056">
      <w:pPr>
        <w:suppressAutoHyphens/>
        <w:spacing w:after="0" w:line="240" w:lineRule="auto"/>
        <w:jc w:val="both"/>
        <w:rPr>
          <w:rFonts w:ascii="Lato" w:eastAsia="Times New Roman" w:hAnsi="Lato" w:cs="Times New Roman"/>
          <w:lang w:eastAsia="ar-SA"/>
        </w:rPr>
      </w:pPr>
      <w:r w:rsidRPr="00954ACC">
        <w:rPr>
          <w:rFonts w:ascii="Lato" w:eastAsia="Times New Roman" w:hAnsi="Lato" w:cs="Times New Roman"/>
          <w:lang w:eastAsia="ar-SA"/>
        </w:rPr>
        <w:t>Les candidats intéressés sont priés de présenter un dossier complet comprenant</w:t>
      </w:r>
    </w:p>
    <w:p w:rsidR="00954ACC" w:rsidRPr="00954ACC" w:rsidRDefault="00954ACC" w:rsidP="00097056">
      <w:pPr>
        <w:numPr>
          <w:ilvl w:val="0"/>
          <w:numId w:val="4"/>
        </w:numPr>
        <w:suppressAutoHyphens/>
        <w:spacing w:after="200" w:line="276" w:lineRule="auto"/>
        <w:contextualSpacing/>
        <w:jc w:val="both"/>
        <w:rPr>
          <w:rFonts w:ascii="Lato" w:eastAsia="Calibri" w:hAnsi="Lato" w:cs="Times New Roman"/>
          <w:lang w:val="en-US"/>
        </w:rPr>
      </w:pPr>
      <w:r w:rsidRPr="00954ACC">
        <w:rPr>
          <w:rFonts w:ascii="Lato" w:eastAsia="Calibri" w:hAnsi="Lato" w:cs="Times New Roman"/>
          <w:lang w:val="en-US"/>
        </w:rPr>
        <w:t>Un C.V. détaillé</w:t>
      </w:r>
    </w:p>
    <w:p w:rsidR="00954ACC" w:rsidRPr="00954ACC" w:rsidRDefault="00954ACC" w:rsidP="00097056">
      <w:pPr>
        <w:numPr>
          <w:ilvl w:val="0"/>
          <w:numId w:val="4"/>
        </w:numPr>
        <w:suppressAutoHyphens/>
        <w:spacing w:after="200" w:line="276" w:lineRule="auto"/>
        <w:contextualSpacing/>
        <w:jc w:val="both"/>
        <w:rPr>
          <w:rFonts w:ascii="Lato" w:eastAsia="Calibri" w:hAnsi="Lato" w:cs="Times New Roman"/>
          <w:lang w:val="en-US"/>
        </w:rPr>
      </w:pPr>
      <w:r w:rsidRPr="00954ACC">
        <w:rPr>
          <w:rFonts w:ascii="Lato" w:eastAsia="Calibri" w:hAnsi="Lato" w:cs="Times New Roman"/>
          <w:lang w:val="en-US"/>
        </w:rPr>
        <w:t>Une lettre de motivation</w:t>
      </w:r>
    </w:p>
    <w:p w:rsidR="00954ACC" w:rsidRPr="00954ACC" w:rsidRDefault="00954ACC" w:rsidP="00097056">
      <w:pPr>
        <w:numPr>
          <w:ilvl w:val="0"/>
          <w:numId w:val="4"/>
        </w:numPr>
        <w:suppressAutoHyphens/>
        <w:spacing w:after="200" w:line="276" w:lineRule="auto"/>
        <w:contextualSpacing/>
        <w:jc w:val="both"/>
        <w:rPr>
          <w:rFonts w:ascii="Lato" w:eastAsia="Calibri" w:hAnsi="Lato" w:cs="Times New Roman"/>
        </w:rPr>
      </w:pPr>
      <w:r w:rsidRPr="00954ACC">
        <w:rPr>
          <w:rFonts w:ascii="Lato" w:eastAsia="Calibri" w:hAnsi="Lato" w:cs="Times New Roman"/>
        </w:rPr>
        <w:t>Exemples d'</w:t>
      </w:r>
      <w:r w:rsidR="00BE08C8">
        <w:rPr>
          <w:rFonts w:ascii="Lato" w:eastAsia="Calibri" w:hAnsi="Lato" w:cs="Times New Roman"/>
        </w:rPr>
        <w:t xml:space="preserve">article scientifique publié </w:t>
      </w:r>
      <w:r w:rsidRPr="00954ACC">
        <w:rPr>
          <w:rFonts w:ascii="Lato" w:eastAsia="Calibri" w:hAnsi="Lato" w:cs="Times New Roman"/>
        </w:rPr>
        <w:t>fait par le candidat</w:t>
      </w:r>
    </w:p>
    <w:p w:rsidR="00954ACC" w:rsidRPr="00954ACC" w:rsidRDefault="00954ACC" w:rsidP="00097056">
      <w:pPr>
        <w:numPr>
          <w:ilvl w:val="0"/>
          <w:numId w:val="4"/>
        </w:numPr>
        <w:suppressAutoHyphens/>
        <w:spacing w:after="200" w:line="276" w:lineRule="auto"/>
        <w:contextualSpacing/>
        <w:jc w:val="both"/>
        <w:rPr>
          <w:rFonts w:ascii="Lato" w:eastAsia="Calibri" w:hAnsi="Lato" w:cs="Times New Roman"/>
          <w:lang w:val="en-US"/>
        </w:rPr>
      </w:pPr>
      <w:r w:rsidRPr="00954ACC">
        <w:rPr>
          <w:rFonts w:ascii="Lato" w:eastAsia="Calibri" w:hAnsi="Lato" w:cs="Times New Roman"/>
          <w:lang w:val="en-US"/>
        </w:rPr>
        <w:t>Une proposition financière</w:t>
      </w:r>
    </w:p>
    <w:p w:rsidR="00954ACC" w:rsidRPr="00954ACC" w:rsidRDefault="00954ACC" w:rsidP="00097056">
      <w:pPr>
        <w:numPr>
          <w:ilvl w:val="0"/>
          <w:numId w:val="4"/>
        </w:numPr>
        <w:suppressAutoHyphens/>
        <w:spacing w:after="200" w:line="276" w:lineRule="auto"/>
        <w:contextualSpacing/>
        <w:jc w:val="both"/>
        <w:rPr>
          <w:rFonts w:ascii="Lato" w:eastAsia="Calibri" w:hAnsi="Lato" w:cs="Times New Roman"/>
        </w:rPr>
      </w:pPr>
      <w:r w:rsidRPr="00954ACC">
        <w:rPr>
          <w:rFonts w:ascii="Lato" w:eastAsia="Calibri" w:hAnsi="Lato" w:cs="Times New Roman"/>
        </w:rPr>
        <w:t>Une proposition technique y compris :</w:t>
      </w:r>
    </w:p>
    <w:p w:rsidR="00954ACC" w:rsidRPr="00954ACC" w:rsidRDefault="00954ACC" w:rsidP="00097056">
      <w:pPr>
        <w:spacing w:after="200" w:line="276" w:lineRule="auto"/>
        <w:ind w:left="720"/>
        <w:contextualSpacing/>
        <w:jc w:val="both"/>
        <w:rPr>
          <w:rFonts w:ascii="Lato" w:eastAsia="Calibri" w:hAnsi="Lato" w:cs="Times New Roman"/>
        </w:rPr>
      </w:pPr>
      <w:r w:rsidRPr="00954ACC">
        <w:rPr>
          <w:rFonts w:ascii="Lato" w:eastAsia="Calibri" w:hAnsi="Lato" w:cs="Times New Roman"/>
        </w:rPr>
        <w:t>-Une proposition méthodologique</w:t>
      </w:r>
    </w:p>
    <w:p w:rsidR="00954ACC" w:rsidRPr="00954ACC" w:rsidRDefault="00954ACC" w:rsidP="00097056">
      <w:pPr>
        <w:spacing w:after="200" w:line="276" w:lineRule="auto"/>
        <w:ind w:left="720"/>
        <w:contextualSpacing/>
        <w:jc w:val="both"/>
        <w:rPr>
          <w:rFonts w:ascii="Lato" w:eastAsia="Calibri" w:hAnsi="Lato" w:cs="Times New Roman"/>
        </w:rPr>
      </w:pPr>
      <w:r w:rsidRPr="00954ACC">
        <w:rPr>
          <w:rFonts w:ascii="Lato" w:eastAsia="Calibri" w:hAnsi="Lato" w:cs="Times New Roman"/>
        </w:rPr>
        <w:t>-Un planning d’exécution</w:t>
      </w:r>
    </w:p>
    <w:p w:rsidR="00954ACC" w:rsidRPr="00954ACC" w:rsidRDefault="00954ACC" w:rsidP="00097056">
      <w:pPr>
        <w:suppressAutoHyphens/>
        <w:spacing w:after="0" w:line="240" w:lineRule="auto"/>
        <w:jc w:val="both"/>
        <w:rPr>
          <w:rFonts w:ascii="Lato" w:eastAsia="Times New Roman" w:hAnsi="Lato" w:cs="Times New Roman"/>
          <w:lang w:eastAsia="ar-SA"/>
        </w:rPr>
      </w:pPr>
    </w:p>
    <w:p w:rsidR="00954ACC" w:rsidRPr="00954ACC" w:rsidRDefault="00954ACC" w:rsidP="00097056">
      <w:pPr>
        <w:suppressAutoHyphens/>
        <w:spacing w:after="0" w:line="240" w:lineRule="auto"/>
        <w:jc w:val="both"/>
        <w:rPr>
          <w:rFonts w:ascii="Lato" w:eastAsia="Times New Roman" w:hAnsi="Lato" w:cs="Times New Roman"/>
          <w:lang w:val="en-GB" w:eastAsia="ar-SA"/>
        </w:rPr>
      </w:pPr>
      <w:r w:rsidRPr="00954ACC">
        <w:rPr>
          <w:rFonts w:ascii="Lato" w:eastAsia="Times New Roman" w:hAnsi="Lato" w:cs="Times New Roman"/>
          <w:lang w:eastAsia="ar-SA"/>
        </w:rPr>
        <w:t>La candidature portant la mention</w:t>
      </w:r>
      <w:r w:rsidR="00BE08C8" w:rsidRPr="00954ACC">
        <w:rPr>
          <w:rFonts w:ascii="Lato" w:eastAsia="Times New Roman" w:hAnsi="Lato" w:cs="Times New Roman"/>
          <w:lang w:eastAsia="ar-SA"/>
        </w:rPr>
        <w:t xml:space="preserve"> </w:t>
      </w:r>
      <w:r w:rsidR="00BE08C8" w:rsidRPr="003A49F7">
        <w:rPr>
          <w:rFonts w:ascii="Lato" w:eastAsia="Times New Roman" w:hAnsi="Lato" w:cs="Times New Roman"/>
          <w:lang w:eastAsia="ar-SA"/>
        </w:rPr>
        <w:t xml:space="preserve">« </w:t>
      </w:r>
      <w:r w:rsidR="00BE08C8" w:rsidRPr="003A49F7">
        <w:rPr>
          <w:rFonts w:ascii="Lato" w:eastAsia="Times New Roman" w:hAnsi="Lato" w:cs="Times New Roman"/>
          <w:b/>
          <w:lang w:eastAsia="ar-SA"/>
        </w:rPr>
        <w:t xml:space="preserve">Elaboration Article scientifique RSS/Résilience </w:t>
      </w:r>
      <w:r w:rsidRPr="003A49F7">
        <w:rPr>
          <w:rFonts w:ascii="Lato" w:eastAsia="Times New Roman" w:hAnsi="Lato" w:cs="Times New Roman"/>
          <w:b/>
          <w:lang w:eastAsia="ar-SA"/>
        </w:rPr>
        <w:t>/WA_DK_005</w:t>
      </w:r>
      <w:r w:rsidR="003A49F7" w:rsidRPr="003A49F7">
        <w:rPr>
          <w:rFonts w:ascii="Lato" w:eastAsia="Times New Roman" w:hAnsi="Lato" w:cs="Times New Roman"/>
          <w:b/>
          <w:lang w:eastAsia="ar-SA"/>
        </w:rPr>
        <w:t>44</w:t>
      </w:r>
      <w:r w:rsidRPr="003A49F7">
        <w:rPr>
          <w:rFonts w:ascii="Lato" w:eastAsia="Times New Roman" w:hAnsi="Lato" w:cs="Times New Roman"/>
          <w:b/>
          <w:lang w:eastAsia="ar-SA"/>
        </w:rPr>
        <w:t> </w:t>
      </w:r>
      <w:r w:rsidRPr="003A49F7">
        <w:rPr>
          <w:rFonts w:ascii="Lato" w:eastAsia="Times New Roman" w:hAnsi="Lato" w:cs="Times New Roman"/>
          <w:lang w:eastAsia="ar-SA"/>
        </w:rPr>
        <w:t>»</w:t>
      </w:r>
      <w:r w:rsidRPr="00954ACC">
        <w:rPr>
          <w:rFonts w:ascii="Lato" w:eastAsia="Times New Roman" w:hAnsi="Lato" w:cs="Times New Roman"/>
          <w:lang w:eastAsia="ar-SA"/>
        </w:rPr>
        <w:t xml:space="preserve"> doit être envoyé par e-mail à, </w:t>
      </w:r>
      <w:r w:rsidRPr="00954ACC">
        <w:rPr>
          <w:rFonts w:ascii="Lato" w:eastAsia="Times New Roman" w:hAnsi="Lato" w:cs="Times New Roman"/>
          <w:color w:val="0000FF"/>
          <w:u w:val="single"/>
          <w:lang w:eastAsia="ar-SA"/>
        </w:rPr>
        <w:t>ftoure@wa.acfspain.org</w:t>
      </w:r>
      <w:r w:rsidRPr="00954ACC">
        <w:rPr>
          <w:rFonts w:ascii="Lato" w:eastAsia="Times New Roman" w:hAnsi="Lato" w:cs="Times New Roman"/>
          <w:lang w:eastAsia="ar-SA"/>
        </w:rPr>
        <w:t xml:space="preserve"> et, </w:t>
      </w:r>
      <w:hyperlink r:id="rId7" w:history="1">
        <w:r w:rsidRPr="00954ACC">
          <w:rPr>
            <w:rFonts w:ascii="Lato" w:eastAsia="Times New Roman" w:hAnsi="Lato" w:cs="Times New Roman"/>
            <w:color w:val="0000FF"/>
            <w:u w:val="single"/>
            <w:lang w:eastAsia="ar-SA"/>
          </w:rPr>
          <w:t>lmbodj@wa.acfspain.org</w:t>
        </w:r>
      </w:hyperlink>
      <w:r w:rsidRPr="00954ACC">
        <w:rPr>
          <w:rFonts w:ascii="Lato" w:eastAsia="Times New Roman" w:hAnsi="Lato" w:cs="Times New Roman"/>
          <w:lang w:eastAsia="ar-SA"/>
        </w:rPr>
        <w:t xml:space="preserve">, avant le </w:t>
      </w:r>
      <w:r w:rsidR="003A49F7">
        <w:rPr>
          <w:rFonts w:ascii="Lato" w:eastAsia="Times New Roman" w:hAnsi="Lato" w:cs="Times New Roman"/>
          <w:lang w:eastAsia="ar-SA"/>
        </w:rPr>
        <w:t>03</w:t>
      </w:r>
      <w:r w:rsidRPr="00954ACC">
        <w:rPr>
          <w:rFonts w:ascii="Lato" w:eastAsia="Times New Roman" w:hAnsi="Lato" w:cs="Times New Roman"/>
          <w:lang w:eastAsia="ar-SA"/>
        </w:rPr>
        <w:t xml:space="preserve"> </w:t>
      </w:r>
      <w:r w:rsidR="003A49F7">
        <w:rPr>
          <w:rFonts w:ascii="Lato" w:eastAsia="Times New Roman" w:hAnsi="Lato" w:cs="Times New Roman"/>
          <w:lang w:eastAsia="ar-SA"/>
        </w:rPr>
        <w:t>JANVIER</w:t>
      </w:r>
      <w:r w:rsidRPr="00954ACC">
        <w:rPr>
          <w:rFonts w:ascii="Lato" w:eastAsia="Times New Roman" w:hAnsi="Lato" w:cs="Times New Roman"/>
          <w:lang w:eastAsia="ar-SA"/>
        </w:rPr>
        <w:t xml:space="preserve"> 2018 à 23h59 GMT, date limite de soumission des offres. Seuls les candidats qualifiés seront contactés. Aucun dossier ne sera restitué aux soumissionnaires. </w:t>
      </w:r>
      <w:proofErr w:type="spellStart"/>
      <w:r w:rsidRPr="00954ACC">
        <w:rPr>
          <w:rFonts w:ascii="Lato" w:eastAsia="Times New Roman" w:hAnsi="Lato" w:cs="Times New Roman"/>
          <w:lang w:val="en-GB" w:eastAsia="ar-SA"/>
        </w:rPr>
        <w:t>Seuls</w:t>
      </w:r>
      <w:proofErr w:type="spellEnd"/>
      <w:r w:rsidRPr="00954ACC">
        <w:rPr>
          <w:rFonts w:ascii="Lato" w:eastAsia="Times New Roman" w:hAnsi="Lato" w:cs="Times New Roman"/>
          <w:lang w:val="en-GB" w:eastAsia="ar-SA"/>
        </w:rPr>
        <w:t xml:space="preserve"> les </w:t>
      </w:r>
      <w:proofErr w:type="spellStart"/>
      <w:r w:rsidRPr="00954ACC">
        <w:rPr>
          <w:rFonts w:ascii="Lato" w:eastAsia="Times New Roman" w:hAnsi="Lato" w:cs="Times New Roman"/>
          <w:lang w:val="en-GB" w:eastAsia="ar-SA"/>
        </w:rPr>
        <w:t>candidats</w:t>
      </w:r>
      <w:proofErr w:type="spellEnd"/>
      <w:r w:rsidRPr="00954ACC">
        <w:rPr>
          <w:rFonts w:ascii="Lato" w:eastAsia="Times New Roman" w:hAnsi="Lato" w:cs="Times New Roman"/>
          <w:lang w:val="en-GB" w:eastAsia="ar-SA"/>
        </w:rPr>
        <w:t xml:space="preserve"> </w:t>
      </w:r>
      <w:proofErr w:type="spellStart"/>
      <w:r w:rsidRPr="00954ACC">
        <w:rPr>
          <w:rFonts w:ascii="Lato" w:eastAsia="Times New Roman" w:hAnsi="Lato" w:cs="Times New Roman"/>
          <w:lang w:val="en-GB" w:eastAsia="ar-SA"/>
        </w:rPr>
        <w:t>retenus</w:t>
      </w:r>
      <w:proofErr w:type="spellEnd"/>
      <w:r w:rsidRPr="00954ACC">
        <w:rPr>
          <w:rFonts w:ascii="Lato" w:eastAsia="Times New Roman" w:hAnsi="Lato" w:cs="Times New Roman"/>
          <w:lang w:val="en-GB" w:eastAsia="ar-SA"/>
        </w:rPr>
        <w:t xml:space="preserve"> </w:t>
      </w:r>
      <w:proofErr w:type="spellStart"/>
      <w:r w:rsidRPr="00954ACC">
        <w:rPr>
          <w:rFonts w:ascii="Lato" w:eastAsia="Times New Roman" w:hAnsi="Lato" w:cs="Times New Roman"/>
          <w:lang w:val="en-GB" w:eastAsia="ar-SA"/>
        </w:rPr>
        <w:t>seront</w:t>
      </w:r>
      <w:proofErr w:type="spellEnd"/>
      <w:r w:rsidRPr="00954ACC">
        <w:rPr>
          <w:rFonts w:ascii="Lato" w:eastAsia="Times New Roman" w:hAnsi="Lato" w:cs="Times New Roman"/>
          <w:lang w:val="en-GB" w:eastAsia="ar-SA"/>
        </w:rPr>
        <w:t xml:space="preserve"> </w:t>
      </w:r>
      <w:proofErr w:type="spellStart"/>
      <w:r w:rsidRPr="00954ACC">
        <w:rPr>
          <w:rFonts w:ascii="Lato" w:eastAsia="Times New Roman" w:hAnsi="Lato" w:cs="Times New Roman"/>
          <w:lang w:val="en-GB" w:eastAsia="ar-SA"/>
        </w:rPr>
        <w:t>contactés</w:t>
      </w:r>
      <w:proofErr w:type="spellEnd"/>
      <w:r w:rsidRPr="00954ACC">
        <w:rPr>
          <w:rFonts w:ascii="Lato" w:eastAsia="Times New Roman" w:hAnsi="Lato" w:cs="Times New Roman"/>
          <w:lang w:val="en-GB" w:eastAsia="ar-SA"/>
        </w:rPr>
        <w:t>.</w:t>
      </w:r>
    </w:p>
    <w:p w:rsidR="00954ACC" w:rsidRPr="00954ACC" w:rsidRDefault="00954ACC" w:rsidP="00097056">
      <w:pPr>
        <w:suppressAutoHyphens/>
        <w:spacing w:after="0" w:line="240" w:lineRule="auto"/>
        <w:jc w:val="both"/>
        <w:rPr>
          <w:rFonts w:ascii="Lato" w:eastAsia="Times New Roman" w:hAnsi="Lato" w:cs="Times New Roman"/>
          <w:sz w:val="24"/>
          <w:szCs w:val="24"/>
          <w:lang w:val="en-GB" w:eastAsia="ar-SA"/>
        </w:rPr>
      </w:pPr>
    </w:p>
    <w:p w:rsidR="00954ACC" w:rsidRPr="00954ACC" w:rsidRDefault="00954ACC" w:rsidP="00097056">
      <w:pPr>
        <w:pStyle w:val="Prrafodelista"/>
        <w:numPr>
          <w:ilvl w:val="0"/>
          <w:numId w:val="1"/>
        </w:numPr>
        <w:suppressAutoHyphens/>
        <w:spacing w:after="60" w:line="240" w:lineRule="auto"/>
        <w:jc w:val="both"/>
        <w:rPr>
          <w:rFonts w:ascii="Arial" w:eastAsiaTheme="majorEastAsia" w:hAnsi="Arial" w:cs="Arial"/>
          <w:b/>
          <w:color w:val="2F5496" w:themeColor="accent1" w:themeShade="BF"/>
          <w:sz w:val="24"/>
          <w:szCs w:val="24"/>
        </w:rPr>
      </w:pPr>
      <w:r w:rsidRPr="00954ACC">
        <w:rPr>
          <w:rFonts w:ascii="Arial" w:eastAsiaTheme="majorEastAsia" w:hAnsi="Arial" w:cs="Arial"/>
          <w:b/>
          <w:color w:val="2F5496" w:themeColor="accent1" w:themeShade="BF"/>
          <w:sz w:val="24"/>
          <w:szCs w:val="24"/>
        </w:rPr>
        <w:t>CRITERE D’EVALUATION DES OFFRES</w:t>
      </w:r>
    </w:p>
    <w:p w:rsidR="00954ACC" w:rsidRPr="00954ACC" w:rsidRDefault="00954ACC" w:rsidP="00097056">
      <w:pPr>
        <w:pStyle w:val="Prrafodelista"/>
        <w:suppressAutoHyphens/>
        <w:spacing w:after="60" w:line="240" w:lineRule="auto"/>
        <w:ind w:left="1080"/>
        <w:jc w:val="both"/>
        <w:rPr>
          <w:rFonts w:ascii="Arial" w:eastAsiaTheme="majorEastAsia" w:hAnsi="Arial" w:cs="Arial"/>
          <w:b/>
          <w:color w:val="2F5496" w:themeColor="accent1" w:themeShade="BF"/>
          <w:sz w:val="24"/>
          <w:szCs w:val="24"/>
        </w:rPr>
      </w:pPr>
    </w:p>
    <w:p w:rsidR="00954ACC" w:rsidRPr="00954ACC" w:rsidRDefault="00954ACC" w:rsidP="00097056">
      <w:pPr>
        <w:suppressAutoHyphens/>
        <w:spacing w:after="0" w:line="240" w:lineRule="auto"/>
        <w:jc w:val="both"/>
        <w:rPr>
          <w:rFonts w:ascii="Lato" w:eastAsia="Times New Roman" w:hAnsi="Lato" w:cs="Times New Roman"/>
          <w:lang w:eastAsia="ar-SA"/>
        </w:rPr>
      </w:pPr>
      <w:r w:rsidRPr="00954ACC">
        <w:rPr>
          <w:rFonts w:ascii="Lato" w:eastAsia="Times New Roman" w:hAnsi="Lato" w:cs="Times New Roman"/>
          <w:lang w:eastAsia="ar-SA"/>
        </w:rPr>
        <w:t>Les éléments ci-dessous, séparément ou conjointement seront les critères essentiels d’évaluation des offres :</w:t>
      </w:r>
    </w:p>
    <w:p w:rsidR="00954ACC" w:rsidRPr="00954ACC" w:rsidRDefault="00954ACC" w:rsidP="00097056">
      <w:pPr>
        <w:numPr>
          <w:ilvl w:val="0"/>
          <w:numId w:val="7"/>
        </w:numPr>
        <w:suppressAutoHyphens/>
        <w:spacing w:after="0" w:line="240" w:lineRule="auto"/>
        <w:contextualSpacing/>
        <w:jc w:val="both"/>
        <w:rPr>
          <w:rFonts w:ascii="Lato" w:eastAsia="Times New Roman" w:hAnsi="Lato" w:cs="Times New Roman"/>
          <w:lang w:eastAsia="ar-SA"/>
        </w:rPr>
      </w:pPr>
      <w:r w:rsidRPr="00954ACC">
        <w:rPr>
          <w:rFonts w:ascii="Lato" w:eastAsia="Times New Roman" w:hAnsi="Lato" w:cs="Times New Roman"/>
          <w:lang w:eastAsia="ar-SA"/>
        </w:rPr>
        <w:t>Expérience et capacités du consultant à mener la consultance</w:t>
      </w:r>
    </w:p>
    <w:p w:rsidR="00954ACC" w:rsidRPr="00954ACC" w:rsidRDefault="00954ACC" w:rsidP="00097056">
      <w:pPr>
        <w:numPr>
          <w:ilvl w:val="0"/>
          <w:numId w:val="7"/>
        </w:numPr>
        <w:suppressAutoHyphens/>
        <w:spacing w:after="0" w:line="240" w:lineRule="auto"/>
        <w:contextualSpacing/>
        <w:jc w:val="both"/>
        <w:rPr>
          <w:rFonts w:ascii="Lato" w:eastAsia="Times New Roman" w:hAnsi="Lato" w:cs="Times New Roman"/>
          <w:lang w:eastAsia="ar-SA"/>
        </w:rPr>
      </w:pPr>
      <w:r w:rsidRPr="00954ACC">
        <w:rPr>
          <w:rFonts w:ascii="Lato" w:eastAsia="Times New Roman" w:hAnsi="Lato" w:cs="Times New Roman"/>
          <w:lang w:eastAsia="ar-SA"/>
        </w:rPr>
        <w:t>Qualité et pertinence de la proposition technique</w:t>
      </w:r>
    </w:p>
    <w:p w:rsidR="00954ACC" w:rsidRPr="00954ACC" w:rsidRDefault="00954ACC" w:rsidP="00097056">
      <w:pPr>
        <w:numPr>
          <w:ilvl w:val="0"/>
          <w:numId w:val="7"/>
        </w:numPr>
        <w:suppressAutoHyphens/>
        <w:spacing w:after="0" w:line="240" w:lineRule="auto"/>
        <w:contextualSpacing/>
        <w:jc w:val="both"/>
        <w:rPr>
          <w:rFonts w:ascii="Lato" w:eastAsia="Times New Roman" w:hAnsi="Lato" w:cs="Times New Roman"/>
          <w:lang w:val="en-GB" w:eastAsia="ar-SA"/>
        </w:rPr>
      </w:pPr>
      <w:proofErr w:type="spellStart"/>
      <w:r w:rsidRPr="00954ACC">
        <w:rPr>
          <w:rFonts w:ascii="Lato" w:eastAsia="Times New Roman" w:hAnsi="Lato" w:cs="Times New Roman"/>
          <w:lang w:val="en-GB" w:eastAsia="ar-SA"/>
        </w:rPr>
        <w:t>Coût</w:t>
      </w:r>
      <w:proofErr w:type="spellEnd"/>
      <w:r w:rsidRPr="00954ACC">
        <w:rPr>
          <w:rFonts w:ascii="Lato" w:eastAsia="Times New Roman" w:hAnsi="Lato" w:cs="Times New Roman"/>
          <w:lang w:val="en-GB" w:eastAsia="ar-SA"/>
        </w:rPr>
        <w:t xml:space="preserve"> de </w:t>
      </w:r>
      <w:proofErr w:type="spellStart"/>
      <w:r w:rsidRPr="00954ACC">
        <w:rPr>
          <w:rFonts w:ascii="Lato" w:eastAsia="Times New Roman" w:hAnsi="Lato" w:cs="Times New Roman"/>
          <w:lang w:val="en-GB" w:eastAsia="ar-SA"/>
        </w:rPr>
        <w:t>l´offre</w:t>
      </w:r>
      <w:proofErr w:type="spellEnd"/>
      <w:r w:rsidRPr="00954ACC">
        <w:rPr>
          <w:rFonts w:ascii="Lato" w:eastAsia="Times New Roman" w:hAnsi="Lato" w:cs="Times New Roman"/>
          <w:lang w:val="en-GB" w:eastAsia="ar-SA"/>
        </w:rPr>
        <w:t>.</w:t>
      </w:r>
    </w:p>
    <w:p w:rsidR="00954ACC" w:rsidRPr="00954ACC" w:rsidRDefault="00954ACC" w:rsidP="00097056">
      <w:pPr>
        <w:suppressAutoHyphens/>
        <w:spacing w:after="0" w:line="240" w:lineRule="auto"/>
        <w:contextualSpacing/>
        <w:jc w:val="both"/>
        <w:rPr>
          <w:rFonts w:ascii="Lato" w:eastAsia="Times New Roman" w:hAnsi="Lato" w:cs="Times New Roman"/>
          <w:lang w:val="en-GB" w:eastAsia="ar-SA"/>
        </w:rPr>
      </w:pPr>
    </w:p>
    <w:p w:rsidR="00954ACC" w:rsidRPr="00097056" w:rsidRDefault="00954ACC" w:rsidP="00097056">
      <w:pPr>
        <w:suppressAutoHyphens/>
        <w:spacing w:after="0" w:line="240" w:lineRule="auto"/>
        <w:contextualSpacing/>
        <w:jc w:val="both"/>
        <w:rPr>
          <w:rFonts w:ascii="Lato" w:eastAsia="Times New Roman" w:hAnsi="Lato" w:cs="Times New Roman"/>
          <w:lang w:eastAsia="ar-SA"/>
        </w:rPr>
      </w:pPr>
      <w:r w:rsidRPr="00954ACC">
        <w:rPr>
          <w:rFonts w:ascii="Lato" w:eastAsia="Times New Roman" w:hAnsi="Lato" w:cs="Times New Roman"/>
          <w:lang w:eastAsia="ar-SA"/>
        </w:rPr>
        <w:t>NB : Afin de pallier à certaines contraintes, les dépouillements et les interviews avec les soumissionnaires pourront débuter avant la date de clôture de réception des offres.</w:t>
      </w:r>
    </w:p>
    <w:sectPr w:rsidR="00954ACC" w:rsidRPr="00097056" w:rsidSect="007173E9">
      <w:headerReference w:type="default" r:id="rId8"/>
      <w:pgSz w:w="11906" w:h="16838"/>
      <w:pgMar w:top="1417" w:right="1417" w:bottom="1417"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F56" w:rsidRDefault="00801F56" w:rsidP="007173E9">
      <w:pPr>
        <w:spacing w:after="0" w:line="240" w:lineRule="auto"/>
      </w:pPr>
      <w:r>
        <w:separator/>
      </w:r>
    </w:p>
  </w:endnote>
  <w:endnote w:type="continuationSeparator" w:id="0">
    <w:p w:rsidR="00801F56" w:rsidRDefault="00801F56" w:rsidP="0071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F56" w:rsidRDefault="00801F56" w:rsidP="007173E9">
      <w:pPr>
        <w:spacing w:after="0" w:line="240" w:lineRule="auto"/>
      </w:pPr>
      <w:r>
        <w:separator/>
      </w:r>
    </w:p>
  </w:footnote>
  <w:footnote w:type="continuationSeparator" w:id="0">
    <w:p w:rsidR="00801F56" w:rsidRDefault="00801F56" w:rsidP="0071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3E9" w:rsidRDefault="007173E9" w:rsidP="007173E9">
    <w:pPr>
      <w:pStyle w:val="Encabezado"/>
      <w:ind w:hanging="720"/>
    </w:pPr>
    <w:r w:rsidRPr="007E71CB">
      <w:rPr>
        <w:noProof/>
      </w:rPr>
      <w:drawing>
        <wp:inline distT="0" distB="0" distL="0" distR="0" wp14:anchorId="55A9B3E0" wp14:editId="6A6682D9">
          <wp:extent cx="2070497" cy="895350"/>
          <wp:effectExtent l="0" t="0" r="6350" b="0"/>
          <wp:docPr id="6" name="Image 6" descr="cid:image001.png@01D2D3B0.E9774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D3B0.E9774B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07" cy="8970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48A"/>
    <w:multiLevelType w:val="hybridMultilevel"/>
    <w:tmpl w:val="5B86B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904C9"/>
    <w:multiLevelType w:val="hybridMultilevel"/>
    <w:tmpl w:val="D548A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11212"/>
    <w:multiLevelType w:val="hybridMultilevel"/>
    <w:tmpl w:val="01BAA7B0"/>
    <w:lvl w:ilvl="0" w:tplc="0EF412FE">
      <w:start w:val="1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407C24"/>
    <w:multiLevelType w:val="hybridMultilevel"/>
    <w:tmpl w:val="6B144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7762D7"/>
    <w:multiLevelType w:val="multilevel"/>
    <w:tmpl w:val="FD88D62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5" w15:restartNumberingAfterBreak="0">
    <w:nsid w:val="671424CD"/>
    <w:multiLevelType w:val="hybridMultilevel"/>
    <w:tmpl w:val="FE3625D4"/>
    <w:lvl w:ilvl="0" w:tplc="BFB6200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994126"/>
    <w:multiLevelType w:val="hybridMultilevel"/>
    <w:tmpl w:val="1BCA566A"/>
    <w:lvl w:ilvl="0" w:tplc="982E85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5D"/>
    <w:rsid w:val="00097056"/>
    <w:rsid w:val="00292AE5"/>
    <w:rsid w:val="003A49F7"/>
    <w:rsid w:val="005C37ED"/>
    <w:rsid w:val="005D4A16"/>
    <w:rsid w:val="007173E9"/>
    <w:rsid w:val="00767BAE"/>
    <w:rsid w:val="00801F56"/>
    <w:rsid w:val="008144CA"/>
    <w:rsid w:val="00954ACC"/>
    <w:rsid w:val="009E7FC1"/>
    <w:rsid w:val="00A06631"/>
    <w:rsid w:val="00A144AF"/>
    <w:rsid w:val="00BE08C8"/>
    <w:rsid w:val="00C43DA0"/>
    <w:rsid w:val="00FC635D"/>
    <w:rsid w:val="00FE1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8B5067-9954-4825-B43A-A11C86FE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635D"/>
    <w:pPr>
      <w:keepNext/>
      <w:keepLines/>
      <w:spacing w:before="240" w:after="0"/>
      <w:outlineLvl w:val="0"/>
    </w:pPr>
    <w:rPr>
      <w:rFonts w:asciiTheme="majorHAnsi" w:eastAsiaTheme="majorEastAsia" w:hAnsiTheme="majorHAnsi" w:cstheme="majorBidi"/>
      <w:color w:val="2F5496" w:themeColor="accent1" w:themeShade="BF"/>
      <w:sz w:val="32"/>
      <w:szCs w:val="32"/>
      <w:lang w:val="fr-CA"/>
    </w:rPr>
  </w:style>
  <w:style w:type="paragraph" w:styleId="Ttulo2">
    <w:name w:val="heading 2"/>
    <w:basedOn w:val="Normal"/>
    <w:next w:val="Normal"/>
    <w:link w:val="Ttulo2Car"/>
    <w:uiPriority w:val="9"/>
    <w:unhideWhenUsed/>
    <w:qFormat/>
    <w:rsid w:val="007173E9"/>
    <w:pPr>
      <w:keepNext/>
      <w:jc w:val="center"/>
      <w:outlineLvl w:val="1"/>
    </w:pPr>
    <w:rPr>
      <w:rFonts w:ascii="Lato" w:eastAsia="Times New Roman" w:hAnsi="Lato" w:cs="Times New Roman"/>
      <w:b/>
      <w:sz w:val="3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635D"/>
    <w:rPr>
      <w:rFonts w:asciiTheme="majorHAnsi" w:eastAsiaTheme="majorEastAsia" w:hAnsiTheme="majorHAnsi" w:cstheme="majorBidi"/>
      <w:color w:val="2F5496" w:themeColor="accent1" w:themeShade="BF"/>
      <w:sz w:val="32"/>
      <w:szCs w:val="32"/>
      <w:lang w:val="fr-CA"/>
    </w:rPr>
  </w:style>
  <w:style w:type="paragraph" w:styleId="Prrafodelista">
    <w:name w:val="List Paragraph"/>
    <w:basedOn w:val="Normal"/>
    <w:uiPriority w:val="34"/>
    <w:qFormat/>
    <w:rsid w:val="00FC635D"/>
    <w:pPr>
      <w:ind w:left="720"/>
      <w:contextualSpacing/>
    </w:pPr>
  </w:style>
  <w:style w:type="character" w:customStyle="1" w:styleId="Ttulo2Car">
    <w:name w:val="Título 2 Car"/>
    <w:basedOn w:val="Fuentedeprrafopredeter"/>
    <w:link w:val="Ttulo2"/>
    <w:uiPriority w:val="9"/>
    <w:rsid w:val="007173E9"/>
    <w:rPr>
      <w:rFonts w:ascii="Lato" w:eastAsia="Times New Roman" w:hAnsi="Lato" w:cs="Times New Roman"/>
      <w:b/>
      <w:sz w:val="36"/>
      <w:lang w:eastAsia="ar-SA"/>
    </w:rPr>
  </w:style>
  <w:style w:type="paragraph" w:styleId="Encabezado">
    <w:name w:val="header"/>
    <w:basedOn w:val="Normal"/>
    <w:link w:val="EncabezadoCar"/>
    <w:uiPriority w:val="99"/>
    <w:unhideWhenUsed/>
    <w:rsid w:val="007173E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173E9"/>
  </w:style>
  <w:style w:type="paragraph" w:styleId="Piedepgina">
    <w:name w:val="footer"/>
    <w:basedOn w:val="Normal"/>
    <w:link w:val="PiedepginaCar"/>
    <w:uiPriority w:val="99"/>
    <w:unhideWhenUsed/>
    <w:rsid w:val="007173E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173E9"/>
  </w:style>
  <w:style w:type="paragraph" w:styleId="Ttulo">
    <w:name w:val="Title"/>
    <w:basedOn w:val="Normal"/>
    <w:next w:val="Normal"/>
    <w:link w:val="TtuloCar"/>
    <w:uiPriority w:val="10"/>
    <w:qFormat/>
    <w:rsid w:val="007173E9"/>
    <w:pPr>
      <w:jc w:val="center"/>
    </w:pPr>
    <w:rPr>
      <w:b/>
      <w:sz w:val="40"/>
      <w:szCs w:val="40"/>
      <w:lang w:val="fr-SN"/>
    </w:rPr>
  </w:style>
  <w:style w:type="character" w:customStyle="1" w:styleId="TtuloCar">
    <w:name w:val="Título Car"/>
    <w:basedOn w:val="Fuentedeprrafopredeter"/>
    <w:link w:val="Ttulo"/>
    <w:uiPriority w:val="10"/>
    <w:rsid w:val="007173E9"/>
    <w:rPr>
      <w:b/>
      <w:sz w:val="40"/>
      <w:szCs w:val="40"/>
      <w:lang w:val="fr-SN"/>
    </w:rPr>
  </w:style>
  <w:style w:type="paragraph" w:styleId="Textoindependiente">
    <w:name w:val="Body Text"/>
    <w:basedOn w:val="Normal"/>
    <w:link w:val="TextoindependienteCar"/>
    <w:uiPriority w:val="99"/>
    <w:unhideWhenUsed/>
    <w:rsid w:val="003A49F7"/>
    <w:pPr>
      <w:jc w:val="center"/>
    </w:pPr>
    <w:rPr>
      <w:rFonts w:ascii="Lato" w:eastAsia="Times New Roman" w:hAnsi="Lato" w:cs="Times New Roman"/>
      <w:b/>
      <w:sz w:val="36"/>
      <w:lang w:eastAsia="ar-SA"/>
    </w:rPr>
  </w:style>
  <w:style w:type="character" w:customStyle="1" w:styleId="TextoindependienteCar">
    <w:name w:val="Texto independiente Car"/>
    <w:basedOn w:val="Fuentedeprrafopredeter"/>
    <w:link w:val="Textoindependiente"/>
    <w:uiPriority w:val="99"/>
    <w:rsid w:val="003A49F7"/>
    <w:rPr>
      <w:rFonts w:ascii="Lato" w:eastAsia="Times New Roman" w:hAnsi="Lato" w:cs="Times New Roman"/>
      <w:b/>
      <w:sz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bodj@wa.acfspa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3528</Characters>
  <Application>Microsoft Office Word</Application>
  <DocSecurity>0</DocSecurity>
  <Lines>29</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fanta toure</dc:creator>
  <cp:keywords/>
  <dc:description/>
  <cp:lastModifiedBy>Clara Melis Maynar</cp:lastModifiedBy>
  <cp:revision>2</cp:revision>
  <dcterms:created xsi:type="dcterms:W3CDTF">2018-12-22T09:15:00Z</dcterms:created>
  <dcterms:modified xsi:type="dcterms:W3CDTF">2018-12-22T09:15:00Z</dcterms:modified>
</cp:coreProperties>
</file>